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0"/>
        <w:gridCol w:w="143"/>
        <w:gridCol w:w="144"/>
        <w:gridCol w:w="143"/>
        <w:gridCol w:w="3152"/>
        <w:gridCol w:w="430"/>
        <w:gridCol w:w="860"/>
        <w:gridCol w:w="429"/>
        <w:gridCol w:w="574"/>
        <w:gridCol w:w="429"/>
        <w:gridCol w:w="287"/>
        <w:gridCol w:w="287"/>
        <w:gridCol w:w="286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87"/>
      </w:tblGrid>
      <w:tr w:rsidR="004D2A72">
        <w:trPr>
          <w:trHeight w:hRule="exact" w:val="1003"/>
        </w:trPr>
        <w:tc>
          <w:tcPr>
            <w:tcW w:w="15618" w:type="dxa"/>
            <w:gridSpan w:val="34"/>
          </w:tcPr>
          <w:p w:rsidR="004D2A72" w:rsidRDefault="004D2A72">
            <w:bookmarkStart w:id="0" w:name="_GoBack"/>
            <w:bookmarkEnd w:id="0"/>
          </w:p>
        </w:tc>
      </w:tr>
      <w:tr w:rsidR="004D2A72">
        <w:trPr>
          <w:trHeight w:hRule="exact" w:val="387"/>
        </w:trPr>
        <w:tc>
          <w:tcPr>
            <w:tcW w:w="15618" w:type="dxa"/>
            <w:gridSpan w:val="34"/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D2A72">
        <w:trPr>
          <w:trHeight w:hRule="exact" w:val="43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387"/>
        </w:trPr>
        <w:tc>
          <w:tcPr>
            <w:tcW w:w="15618" w:type="dxa"/>
            <w:gridSpan w:val="34"/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D2A72">
        <w:trPr>
          <w:trHeight w:hRule="exact" w:val="43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644"/>
        </w:trPr>
        <w:tc>
          <w:tcPr>
            <w:tcW w:w="15618" w:type="dxa"/>
            <w:gridSpan w:val="3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системы мотивации граждан к здоровому образу жизни, включая здоровое питание и отказ от вредных привычек  (Саратовская область)</w:t>
            </w:r>
          </w:p>
        </w:tc>
      </w:tr>
      <w:tr w:rsidR="004D2A72">
        <w:trPr>
          <w:trHeight w:hRule="exact" w:val="717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D2A72">
        <w:trPr>
          <w:trHeight w:hRule="exact" w:val="716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4D2A72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Укрепление общественного здоровья (Саратовская область)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4D2A7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Гречушкина Валентина Владимировна, Заместитель Председателя Правительства Саратовской области</w:t>
            </w:r>
          </w:p>
        </w:tc>
      </w:tr>
      <w:tr w:rsidR="004D2A7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Наталья Васильевна, Министр здравоохранения Саратовской области</w:t>
            </w:r>
          </w:p>
        </w:tc>
      </w:tr>
      <w:tr w:rsidR="004D2A7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Марина Николаевна, Заместитель министра</w:t>
            </w:r>
          </w:p>
        </w:tc>
      </w:tr>
      <w:tr w:rsidR="004D2A7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Саратовской области "Развитие здравоохранения"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4D2A72" w:rsidRDefault="0098405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9"/>
            <w:shd w:val="clear" w:color="auto" w:fill="auto"/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D2A72">
        <w:trPr>
          <w:trHeight w:hRule="exact" w:val="287"/>
        </w:trPr>
        <w:tc>
          <w:tcPr>
            <w:tcW w:w="14471" w:type="dxa"/>
            <w:gridSpan w:val="32"/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4D2A72" w:rsidRDefault="0098405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D2A72">
        <w:trPr>
          <w:trHeight w:hRule="exact" w:val="143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D2A72">
        <w:trPr>
          <w:trHeight w:hRule="exact" w:val="444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граждан, ведущих здоровый образ жизни (Саратовская область)</w:t>
            </w:r>
          </w:p>
        </w:tc>
      </w:tr>
      <w:tr w:rsidR="004D2A72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D2A72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D2A72">
        <w:trPr>
          <w:trHeight w:hRule="exact" w:val="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D2A72">
        <w:trPr>
          <w:trHeight w:hRule="exact" w:val="444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Розничные продажи алкогольной продукции на душу населения (в литрах этанола)</w:t>
            </w:r>
          </w:p>
        </w:tc>
      </w:tr>
      <w:tr w:rsidR="004D2A72">
        <w:trPr>
          <w:trHeight w:hRule="exact" w:val="975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Розничные продажи алкогольной продукции на душу населения (в литрах этанола), л 100% спирта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31.12.2016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4,2000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3,9000</w:t>
            </w:r>
          </w:p>
        </w:tc>
      </w:tr>
      <w:tr w:rsidR="004D2A72">
        <w:trPr>
          <w:trHeight w:hRule="exact" w:val="444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Смертность женщин в возрасте  16-54 лет </w:t>
            </w:r>
          </w:p>
        </w:tc>
      </w:tr>
      <w:tr w:rsidR="004D2A72">
        <w:trPr>
          <w:trHeight w:hRule="exact" w:val="71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женщин в возрасте  16-54 лет , на 100 тысяч человек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210,3000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205,9000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199,9000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192,8000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188,8000</w:t>
            </w:r>
          </w:p>
        </w:tc>
      </w:tr>
      <w:tr w:rsidR="004D2A72">
        <w:trPr>
          <w:trHeight w:hRule="exact" w:val="444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мужчин в возрасте  16-59 лет </w:t>
            </w:r>
          </w:p>
        </w:tc>
      </w:tr>
      <w:tr w:rsidR="004D2A72">
        <w:trPr>
          <w:trHeight w:hRule="exact" w:val="71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мужчин в возрасте  16-59 лет , на 100 тысяч человек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715,0000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662,8000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629,8000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596,7000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568,5000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544,2000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516,3000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573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716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</w:tr>
      <w:tr w:rsidR="004D2A72">
        <w:trPr>
          <w:trHeight w:hRule="exact" w:val="229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ерального проекта): Субъекты Российской Федерации обеспечили внедрение модели организации и функционирования центров общественного здоровья.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Во всех (85)субъектах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анизации и функционирования центров общественного здоровья, включая создание на базе центров здоровья и центров медицинской профилактики первичных (межмуниципальные) и региональных центров общественного здоровья, внедрение новой учетно-отчетной документаци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01.01.2021</w:t>
            </w:r>
          </w:p>
          <w:p w:rsidR="004D2A72" w:rsidRDefault="004D2A72"/>
        </w:tc>
      </w:tr>
      <w:tr w:rsidR="004D2A72">
        <w:trPr>
          <w:trHeight w:hRule="exact" w:val="86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модель организации и функционирования центров общественного здоровья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Саратовской области органамиисполнительной власти субъектов Российской Федерации и органами местногосамоуправления с организационно-методическим сопровождением НМИЦпрофилактической медицины Минздрава России будет осуществлено внедрение новоймодели органи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и функционирования центров общественного здоровья, включаясоздание центров общественного здоровья, внедрение новой учетно-отчетнойдокументации.</w:t>
            </w:r>
          </w:p>
          <w:p w:rsidR="004D2A72" w:rsidRDefault="004D2A72"/>
        </w:tc>
      </w:tr>
      <w:tr w:rsidR="004D2A72">
        <w:trPr>
          <w:trHeight w:hRule="exact" w:val="16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4D2A7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255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0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Муниципальные образования внедрили муниципальные программы общественного здоровья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​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(нарастающим итогом), предусмотрено соответствующее финансирование.В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приятий, направленных на профилактику заболеваний репродуктивной сферы у мужчин.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15.12.2024</w:t>
            </w:r>
          </w:p>
          <w:p w:rsidR="004D2A72" w:rsidRDefault="004D2A72"/>
        </w:tc>
      </w:tr>
      <w:tr w:rsidR="004D2A72">
        <w:trPr>
          <w:trHeight w:hRule="exact" w:val="86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внедрили муниципальные программы общественного здоровья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муниципальные программы общественного здоровья (в том числе программы для моногородов), включающие мероприятия по первичной профилактике стоматологических заболеваний.Внедрены модельные региональные и муниципальные программы, направленные на сокра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щение действия факторов риска развития неинфекционных заболеваний у мужчин трудоспособного возраста.</w:t>
            </w:r>
          </w:p>
          <w:p w:rsidR="004D2A72" w:rsidRDefault="004D2A72"/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15.12.2020 - 20 ПРОЦ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15.12.2021 - 40 ПРОЦ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15.12.2022 - 60 ПРОЦ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15.12.2023 - 80 ПРОЦ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15.12.2024 - 100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193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Внедрены корпоративные программы, содержащие наилучшие практики по укреплению здоровья работников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Федерации, предусматривающие необходимость дляработодателей внедрять корпоративные программы по укреплению здоровья работников. В субъектах Российской Федерации с организационно-методическим сопровождением НМИЦ профилактической медицины Минздрава России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 Работодателями будут проведены мероприятия, ук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употребления алкогольных напитков, перехода на здоровое питание. 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массовой информации в рамках информационно-коммуникационной кампании.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15.12.2024</w:t>
            </w:r>
          </w:p>
          <w:p w:rsidR="004D2A72" w:rsidRDefault="004D2A72"/>
        </w:tc>
      </w:tr>
      <w:tr w:rsidR="004D2A72"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4902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86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Российской Федерации, предусматривающие необходимость для работодателей внедрять корпоративные программы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укреплению здоровья работников. В Саратовской области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ельная работа с работодателями в целях внедрения корпоративных программ по укреплению здоровья работников.Работодателями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Примеры наилучших результатов по провед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ению корпоративных программ будут опубликованы </w:t>
            </w:r>
          </w:p>
          <w:p w:rsidR="004D2A72" w:rsidRDefault="004D2A72"/>
        </w:tc>
      </w:tr>
      <w:tr w:rsidR="004D2A72">
        <w:trPr>
          <w:trHeight w:hRule="exact" w:val="242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15.12.2021 - 1 шт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242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4D2A7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сайте Минздрава России, интернет-сайтах органов исполнительной власти и в средствах массовой информации в рамках информационно-коммуникационной кампании.</w:t>
            </w:r>
          </w:p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4D2A72"/>
        </w:tc>
      </w:tr>
      <w:tr w:rsidR="004D2A72">
        <w:trPr>
          <w:trHeight w:hRule="exact" w:val="157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4D2A72" w:rsidRDefault="004D2A72"/>
        </w:tc>
      </w:tr>
      <w:tr w:rsidR="004D2A72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Некоммерческими организациями реализованы проекты по формированию приверженности здоровому образу жизни, наилучшие проекты размещены на официальном сайте Минздрава России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ежегодного конкурс по отбору проектов на предоставление субсиди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России</w:t>
            </w:r>
          </w:p>
          <w:p w:rsidR="004D2A72" w:rsidRDefault="004D2A72"/>
        </w:tc>
      </w:tr>
      <w:tr w:rsidR="004D2A72">
        <w:trPr>
          <w:trHeight w:hRule="exact" w:val="174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20.12.2024 - 1 -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D2A72">
        <w:trPr>
          <w:trHeight w:hRule="exact" w:val="1362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информационно-коммуникационной кампании формирования системы мотивации граждан к здоровому образу жизни с использованием основных телекоммуникационных каналов для всех целевых аудиторий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текстовых материалов и визуальных 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зов, подготовка и проведение мероприятий для различных целевых групп, инициирование выхода информационно-рекламных материалов в прессе, Интернете, на телевидении, радио, выполнение других необходимых работ по вопросам здорового питанияРазработана и проведе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информационно-коммуникационная кампания с использованием основных телекоммуникационных каналов для всех целевых аудиторий. Реализованы специальные проекты в традиционных СМИ и в сети Интернет, организована поддержка и развитие горячей линии и сайта реги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онального центра медицинской профилактики по вопросам здорового образа жизни.</w:t>
            </w:r>
          </w:p>
          <w:p w:rsidR="004D2A72" w:rsidRDefault="004D2A72"/>
        </w:tc>
      </w:tr>
      <w:tr w:rsidR="004D2A72">
        <w:trPr>
          <w:trHeight w:hRule="exact" w:val="224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15.12.2019 - 1 -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15.12.2020 - 1 -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15.12.2021 - 1 -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15.12.2022 - 1 -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15.12.2023 - 1 -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15.12.2024 - 1 -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89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Разработаны и приняты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здравоохранения, включая создание на базе центров здоровья и центров медицинск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ой профилактики, центров общественного здоровья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Приняты нормативные правовые акты, основанные на рекомендациях Всемирной организации здравоохранения и Министерства здравоохранения Российской Федерации, направленные:на защиту от табачного дыма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последствий потребления табака;на сокращение потребления сахара и соли;на йодирование пищевой поваренной соли, в целях профилактики заболеваний, связанных с дефицитом йода;на снижение потребления алкоголя, а также на снижение распространенности самогоновар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ения;на снижение микронутриентной недостаточности с учетом результатов выборочных наблюдений рациона питания населения Саратовской области.</w:t>
            </w:r>
          </w:p>
          <w:p w:rsidR="004D2A72" w:rsidRDefault="004D2A72"/>
        </w:tc>
      </w:tr>
      <w:tr w:rsidR="004D2A72">
        <w:trPr>
          <w:trHeight w:hRule="exact" w:val="14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31.12.2019 - 0 -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работодателей разработаны типовые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наилучшие практики по укреплению здоровья работников</w:t>
            </w:r>
          </w:p>
          <w:p w:rsidR="004D2A72" w:rsidRDefault="004D2A72"/>
        </w:tc>
      </w:tr>
      <w:tr w:rsidR="004D2A7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15.12.2024 - 0 -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 w:rsidR="004D2A72" w:rsidRDefault="0098405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0"/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4D2A72" w:rsidRDefault="004D2A72"/>
        </w:tc>
      </w:tr>
      <w:tr w:rsidR="004D2A72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D2A72">
        <w:trPr>
          <w:trHeight w:hRule="exact" w:val="286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D2A72">
        <w:trPr>
          <w:trHeight w:hRule="exact" w:val="430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D2A72" w:rsidRDefault="004D2A72"/>
        </w:tc>
        <w:tc>
          <w:tcPr>
            <w:tcW w:w="14615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</w:tr>
      <w:tr w:rsidR="004D2A72">
        <w:trPr>
          <w:trHeight w:hRule="exact" w:val="203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информационно-коммуникационной кампании формирования системы мотивации граждан к здоровому образу жизни с использованием основных телекоммуникационных каналов для всех целевых аудиторий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975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(Саратовская область)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124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71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124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D2A72">
        <w:trPr>
          <w:trHeight w:hRule="exact" w:val="287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D2A72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(Саратовская область)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20,44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120,21</w:t>
            </w:r>
          </w:p>
        </w:tc>
      </w:tr>
      <w:tr w:rsidR="004D2A72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 w:rsidR="004D2A72" w:rsidRDefault="0098405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0"/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4D2A72" w:rsidRDefault="004D2A72"/>
        </w:tc>
      </w:tr>
      <w:tr w:rsidR="004D2A72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D2A72">
        <w:trPr>
          <w:trHeight w:hRule="exact" w:val="85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Саратовской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Стрелюхин А. М.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573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4D2A72" w:rsidRDefault="004D2A72"/>
        </w:tc>
      </w:tr>
      <w:tr w:rsidR="004D2A72">
        <w:trPr>
          <w:trHeight w:hRule="exact" w:val="71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Саратовской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Стрелюхин А. М.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716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Некоммерческими организациями реализованы проекты по формированию приверженности здоровому образу жизни, наилучшие проекты размещены на официальном сайте Минздрава России</w:t>
            </w:r>
          </w:p>
          <w:p w:rsidR="004D2A72" w:rsidRDefault="004D2A72"/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модель организации и функционирования центров общественного здоровья</w:t>
            </w:r>
          </w:p>
          <w:p w:rsidR="004D2A72" w:rsidRDefault="004D2A72"/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716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информационно-коммуникационной кампании формирования системы мотивации граждан к здоровому образу жизни с использованием основных телекоммуникационных каналов для всех целевых аудиторий </w:t>
            </w:r>
          </w:p>
          <w:p w:rsidR="004D2A72" w:rsidRDefault="004D2A72"/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974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приняты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здравоохранения, включая создание на базе центров здоровья и центров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профилактики, центров общественного здоровья</w:t>
            </w:r>
          </w:p>
          <w:p w:rsidR="004D2A72" w:rsidRDefault="004D2A72"/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Муниципальные образования внедрили муниципальные программы общественного здоровья</w:t>
            </w:r>
          </w:p>
          <w:p w:rsidR="004D2A72" w:rsidRDefault="004D2A72"/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  <w:p w:rsidR="004D2A72" w:rsidRDefault="004D2A72"/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</w:t>
            </w:r>
          </w:p>
        </w:tc>
        <w:tc>
          <w:tcPr>
            <w:tcW w:w="32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Мазина Н.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558"/>
        </w:trPr>
        <w:tc>
          <w:tcPr>
            <w:tcW w:w="15618" w:type="dxa"/>
            <w:gridSpan w:val="34"/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4D2A72">
        <w:trPr>
          <w:trHeight w:hRule="exact" w:val="15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</w:tcPr>
          <w:p w:rsidR="004D2A72" w:rsidRDefault="004D2A72"/>
        </w:tc>
      </w:tr>
      <w:tr w:rsidR="004D2A72">
        <w:trPr>
          <w:trHeight w:hRule="exact" w:val="573"/>
        </w:trPr>
        <w:tc>
          <w:tcPr>
            <w:tcW w:w="11462" w:type="dxa"/>
            <w:gridSpan w:val="25"/>
          </w:tcPr>
          <w:p w:rsidR="004D2A72" w:rsidRDefault="004D2A72"/>
        </w:tc>
        <w:tc>
          <w:tcPr>
            <w:tcW w:w="4156" w:type="dxa"/>
            <w:gridSpan w:val="9"/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4D2A72">
        <w:trPr>
          <w:trHeight w:hRule="exact" w:val="574"/>
        </w:trPr>
        <w:tc>
          <w:tcPr>
            <w:tcW w:w="11462" w:type="dxa"/>
            <w:gridSpan w:val="25"/>
          </w:tcPr>
          <w:p w:rsidR="004D2A72" w:rsidRDefault="004D2A72"/>
        </w:tc>
        <w:tc>
          <w:tcPr>
            <w:tcW w:w="4156" w:type="dxa"/>
            <w:gridSpan w:val="9"/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Укрепление общественного здоровья (Саратовская область)</w:t>
            </w:r>
          </w:p>
        </w:tc>
      </w:tr>
      <w:tr w:rsidR="004D2A72"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 w:rsidR="004D2A72" w:rsidRDefault="0098405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0"/>
            <w:shd w:val="clear" w:color="auto" w:fill="auto"/>
            <w:vAlign w:val="center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D2A72">
        <w:trPr>
          <w:trHeight w:hRule="exact" w:val="716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180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Некоммерческими организациями реализованы проекты по формированию приверженности здоровому образу жизни, наилучшие проекты размещены на официальном сайте Минздрава России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ежегодного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альном сайте Минздрава России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D2A72"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D2A72">
        <w:trPr>
          <w:trHeight w:hRule="exact" w:val="149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положения о конкурсе по предоставлению субсидий некоммерческим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рекомендаций по наилучшим практикам реализации волонтерства в сфере охраны здоровья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15.09.2019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29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конкурса по отбору проектов по формированию приверженности здоровому образу жизни на предоставление субсидий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15.01.2024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286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информационно-коммуникационной кампании формирования системы мотивации граждан к здоровому образу жизни с использованием основных телекоммуникационных каналов для всех целевых аудиторий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Создание текстовых материалов и визуальных образов, подготовка и проведение мероприятий для различных целевых групп, инициирование выхода информационно-рекламных материалов в прессе, Интернете, на телевидении, радио, выполнение других необходимых работ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вопросам здорового питанияРазработана и проведена информационно-коммуникационная кампания с использованием основных телекоммуникационных каналов для всех целевых аудиторий. Реализованы специальные проекты в традиционных СМИ и в сети Интернет, организована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поддержка и развитие горячей линии и сайта регионального центра медицинской профилактики по вопросам здорового образа жизни. 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D2A72"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44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4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Планирование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Подведены итоги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Исследование уровня информированности граждан Саратовской области в возрасте 18 лет и старше по вопросам здорового образа жизни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планирование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планирование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Подведены итоги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Берсенева М. Н.,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71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29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планирование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2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планирование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планирование информационно-коммуникационной кампании с использованием основных телекоммуникационных каналов для всех целевых аудиторий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15.01.2024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15.03.2024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15.03.2024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исследование уровня информированности граждан Саратовской области в возрасте 18 лет и старше по вопросам здорового образа жизни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15.01.2024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286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приняты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здравоохранения, включая создание на базе центров здоровья и центров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профилактики, центров общественного здоровья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Приняты нормативные правовые акты, основанные на рекомендациях Всемирной организации здравоохранения и Министерства здравоохранения Российской Федерации, направленные:на защиту от табачного дыма и последствий потребления табака;на сокращение потребления 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 и соли;на йодирование пищевой поваренной соли, в целях профилактики заболеваний, связанных с дефицитом йода;на снижение потребления алкоголя, а также на снижение распространенности самогоноварения;на снижение микронутриентной недостаточности с учетом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результатов выборочных наблюдений рациона питания населения Саратовской области.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4D2A72"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44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4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утвержден (подписан)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202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Разработаны и обсуждены с заинтересованными органами исполнительной власти проекты нормативных правовых актов и методические документы по вопросам ведения гражданами здорового образа жизни, основанные на рекомендациях Всемирной организации здравоохранения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246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Муниципальные образования внедрили муниципальные программы общественного здоровья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Внедрены муниципальные программы общественного здоровья (в том числе программы для моногородов), включающие мероприятия по первичной профилактике стоматологических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заболеваний.Внедрены модельные региональные и муниципальные программы, направленные на сокра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щение действия факторов риска развития неинфекционных заболеваний у мужчин трудоспособного возраста.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4D2A72"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Утверждена региональная программа укрепления общественного здоровья. Проведен анализ демографических и медицинских показателей в разрезе муниципальных образований субъекта Российской Федерации.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модели организации и функционирования муниципальных центров общественного здоровья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открытие Школ здоровья на базе ГУЗ «Саратовский областной центр медицинской профилактики» (кардиологическая, эндокринологическая, онкопрофилактики,  здорового питания, ЗОЖ)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03.09.2018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Разработаны и утверждены муниципальные программы для муниципалитетов повышенного риска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разработка и утверждение положения о деятельности центров общественного здоровья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3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20% муниципальных образований внедрят муниципальные программы по укреплению общественного здоровья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20% муниципальных образований адаптировали и внедрили муниципальные программы общественного здоровья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в муниципальные образования  муниципальных программ общественного здоровья (не менее 40%)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18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в муниципальные образования муниципальные программы общественного здоровья (не менее 40%)</w:t>
            </w:r>
          </w:p>
          <w:p w:rsidR="004D2A72" w:rsidRDefault="004D2A7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в муниципальные образования  муниципальных программ общественного здоровья (не менее 60%)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18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в муниципальные образования муниципальные программы общественного здоровья (не менее 60%)</w:t>
            </w:r>
          </w:p>
          <w:p w:rsidR="004D2A72" w:rsidRDefault="004D2A7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в муниципальные образования  муниципальных программ общественного здоровья (не менее 80%)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18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в муниципальные образования муниципальные программы общественного здоровья (не менее 80%)</w:t>
            </w:r>
          </w:p>
          <w:p w:rsidR="004D2A72" w:rsidRDefault="004D2A7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во все муниципальные образования  муниципальных программ общественного здоровья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D2A72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на базе областного центра медицинской профилактики регионального центра общественного здоровья; и на базе центров здоровья, их укомплектование и дооснащение в соответствии с утвержденными требованиями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223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корпоративные программы, содержащие наилучшие практики по укреплению здоровья работников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 работодателей внедрять корпоративные программ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 по укреплению здоровья работников. В Саратовской области с 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D2A72">
        <w:trPr>
          <w:trHeight w:hRule="exact" w:val="222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2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286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информационно-разъяснительная работа с работодателями в целях внедрения корпоративн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программ по укреплению здоровья работников.Работодателями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Примеры 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D2A72"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и в средствах массовой информации в рамках информационно-коммуникационной кампании.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D2A72">
        <w:trPr>
          <w:trHeight w:hRule="exact" w:val="167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модельных программ по укреплению здоровья населения в муниципальных образованиях (в том числе программ для моногородов), включающих мероприятия по первичной профилактике стоматологических заболеваний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модельных программ, направленных на сокращение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29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49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модельных программ по укреплению здоровья населения (в том числе программ для моногородов), включающих мероприятия по первичной профилактике стоматологических заболеваний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3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модельных программ, направленных на сокращение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4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работодателей разработаны типовые корпоративные программы, содержащие наилучшие практики по укреплению здоровья работников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наилучшие практики по укреплению здоровья работников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D2A72">
        <w:trPr>
          <w:trHeight w:hRule="exact" w:val="123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15.06.2022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202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229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необходимости внедрения дополнительных решений в модельные корпоративные программы, содержащие наилучшие практики по укреплению здоровья работников. Внедрение дополнительных решений по модельным корпоративным программам, содержащим наилучшие практик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по укреплению здоровья работников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15.06.2022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54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4D2A72"/>
        </w:tc>
      </w:tr>
      <w:tr w:rsidR="004D2A72">
        <w:trPr>
          <w:trHeight w:hRule="exact" w:val="173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 мониторинг исполнения соглашений о реализации на территории Саратовской области регионального проекта, обеспечивающего достижение целей, показателей и результатов регионального проекта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bottom w:val="single" w:sz="5" w:space="0" w:color="000000"/>
            </w:tcBorders>
          </w:tcPr>
          <w:p w:rsidR="004D2A72" w:rsidRDefault="004D2A72"/>
        </w:tc>
      </w:tr>
      <w:tr w:rsidR="004D2A72">
        <w:trPr>
          <w:trHeight w:hRule="exact" w:val="43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D2A72">
        <w:trPr>
          <w:trHeight w:hRule="exact" w:val="42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4D2A72"/>
        </w:tc>
      </w:tr>
      <w:tr w:rsidR="004D2A7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D2A7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253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внедрение актуализированных модельных корпоративных программ, содержащих наилучшие практики по укреплению здоровья работников. </w:t>
            </w:r>
          </w:p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результатов внедрения актуализированных модельных корпоративных программ федерального уровня, содержащих наилучшие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 по укреплению здоровья работников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123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подведены промежуточные итоги внедрения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D2A72">
        <w:trPr>
          <w:trHeight w:hRule="exact" w:val="123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подведены промежуточные итоги внедрения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15.09.2019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Берсенева М.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D2A72" w:rsidRDefault="004D2A72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D2A72">
        <w:trPr>
          <w:trHeight w:hRule="exact" w:val="430"/>
        </w:trPr>
        <w:tc>
          <w:tcPr>
            <w:tcW w:w="15618" w:type="dxa"/>
            <w:gridSpan w:val="34"/>
            <w:tcBorders>
              <w:top w:val="single" w:sz="5" w:space="0" w:color="000000"/>
            </w:tcBorders>
            <w:shd w:val="clear" w:color="auto" w:fill="auto"/>
          </w:tcPr>
          <w:p w:rsidR="004D2A72" w:rsidRDefault="009840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</w:tbl>
    <w:p w:rsidR="00984058" w:rsidRDefault="00984058"/>
    <w:sectPr w:rsidR="00984058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2"/>
    <w:rsid w:val="004D2A72"/>
    <w:rsid w:val="00984058"/>
    <w:rsid w:val="00C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AEAC-7547-4838-84F5-00B0977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RP_Ukreplenie_obshhestvennogo_zdorov'ya_(Saratovskaya_oblast')</vt:lpstr>
    </vt:vector>
  </TitlesOfParts>
  <Company>Stimulsoft Reports 2019.3.4 from 5 August 2019</Company>
  <LinksUpToDate>false</LinksUpToDate>
  <CharactersWithSpaces>43524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RP_Ukreplenie_obshhestvennogo_zdorov'ya_(Saratovskaya_oblast')</dc:title>
  <dc:subject>RP_Ukreplenie_obshhestvennogo_zdorov'ya_(Saratovskaya_oblast')</dc:subject>
  <dc:creator>Elena Viktorovna</dc:creator>
  <cp:keywords/>
  <dc:description/>
  <cp:lastModifiedBy>Elena Viktorovna</cp:lastModifiedBy>
  <cp:revision>2</cp:revision>
  <dcterms:created xsi:type="dcterms:W3CDTF">2019-12-13T07:19:00Z</dcterms:created>
  <dcterms:modified xsi:type="dcterms:W3CDTF">2019-12-13T07:19:00Z</dcterms:modified>
</cp:coreProperties>
</file>